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>
          <w:rFonts w:ascii="Chewy" w:cs="Chewy" w:eastAsia="Chewy" w:hAnsi="Chewy"/>
          <w:sz w:val="40"/>
          <w:szCs w:val="40"/>
        </w:rPr>
      </w:pPr>
      <w:r w:rsidDel="00000000" w:rsidR="00000000" w:rsidRPr="00000000">
        <w:rPr>
          <w:rFonts w:ascii="Chewy" w:cs="Chewy" w:eastAsia="Chewy" w:hAnsi="Chewy"/>
          <w:sz w:val="40"/>
          <w:szCs w:val="40"/>
          <w:rtl w:val="0"/>
        </w:rPr>
        <w:t xml:space="preserve">Le récit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5467350</wp:posOffset>
            </wp:positionH>
            <wp:positionV relativeFrom="paragraph">
              <wp:posOffset>123825</wp:posOffset>
            </wp:positionV>
            <wp:extent cx="942113" cy="942113"/>
            <wp:effectExtent b="12700" l="12700" r="12700" t="1270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42113" cy="942113"/>
                    </a:xfrm>
                    <a:prstGeom prst="rect"/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ind w:right="20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74"/>
        <w:tblGridChange w:id="0">
          <w:tblGrid>
            <w:gridCol w:w="9974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ind w:right="20"/>
              <w:jc w:val="center"/>
              <w:rPr>
                <w:rFonts w:ascii="Boogaloo" w:cs="Boogaloo" w:eastAsia="Boogaloo" w:hAnsi="Boogaloo"/>
                <w:color w:val="ffffff"/>
                <w:sz w:val="32"/>
                <w:szCs w:val="3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               Caractéristiques du récit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numPr>
                <w:ilvl w:val="0"/>
                <w:numId w:val="2"/>
              </w:numPr>
              <w:spacing w:after="200" w:before="0" w:lineRule="auto"/>
              <w:ind w:left="720" w:right="38.740157480316384" w:hanging="360"/>
              <w:jc w:val="both"/>
              <w:rPr>
                <w:rFonts w:ascii="Boogaloo" w:cs="Boogaloo" w:eastAsia="Boogaloo" w:hAnsi="Boogaloo"/>
                <w:sz w:val="32"/>
                <w:szCs w:val="32"/>
              </w:rPr>
            </w:pPr>
            <w:r w:rsidDel="00000000" w:rsidR="00000000" w:rsidRPr="00000000">
              <w:rPr>
                <w:rFonts w:ascii="Boogaloo" w:cs="Boogaloo" w:eastAsia="Boogaloo" w:hAnsi="Boogaloo"/>
                <w:sz w:val="32"/>
                <w:szCs w:val="32"/>
                <w:rtl w:val="0"/>
              </w:rPr>
              <w:t xml:space="preserve">Le récit est construit selon le schéma narratif.</w:t>
            </w:r>
          </w:p>
          <w:p w:rsidR="00000000" w:rsidDel="00000000" w:rsidP="00000000" w:rsidRDefault="00000000" w:rsidRPr="00000000" w14:paraId="00000005">
            <w:pPr>
              <w:pageBreakBefore w:val="0"/>
              <w:numPr>
                <w:ilvl w:val="1"/>
                <w:numId w:val="2"/>
              </w:numPr>
              <w:ind w:left="1440" w:right="38.740157480316384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La situation initiale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: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présentation des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personnages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, du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lieu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où se passe l’histoire, de la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situation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dans laquelle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se trouve le personnage principal au début de l’histoire et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quand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se passe cette histoire</w:t>
            </w:r>
          </w:p>
          <w:p w:rsidR="00000000" w:rsidDel="00000000" w:rsidP="00000000" w:rsidRDefault="00000000" w:rsidRPr="00000000" w14:paraId="00000006">
            <w:pPr>
              <w:pageBreakBefore w:val="0"/>
              <w:numPr>
                <w:ilvl w:val="1"/>
                <w:numId w:val="2"/>
              </w:numPr>
              <w:ind w:left="1440" w:right="38.740157480316384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L’élément déclencheur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: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l’arrivée d’un élément perturbateur qui modifie la situation de départ</w:t>
            </w:r>
          </w:p>
          <w:p w:rsidR="00000000" w:rsidDel="00000000" w:rsidP="00000000" w:rsidRDefault="00000000" w:rsidRPr="00000000" w14:paraId="00000007">
            <w:pPr>
              <w:pageBreakBefore w:val="0"/>
              <w:numPr>
                <w:ilvl w:val="1"/>
                <w:numId w:val="2"/>
              </w:numPr>
              <w:ind w:left="1440" w:right="38.740157480316384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Une ou des péripéties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: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série d’aventures qui arrivent aux personnages lorsqu’ils tentent de résoudre le problème causé par l’élément déclencheur</w:t>
            </w:r>
          </w:p>
          <w:p w:rsidR="00000000" w:rsidDel="00000000" w:rsidP="00000000" w:rsidRDefault="00000000" w:rsidRPr="00000000" w14:paraId="00000008">
            <w:pPr>
              <w:pageBreakBefore w:val="0"/>
              <w:numPr>
                <w:ilvl w:val="1"/>
                <w:numId w:val="2"/>
              </w:numPr>
              <w:ind w:left="1440" w:right="38.740157480316384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Un dénouement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: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dernier événement qui résout le problème et met fin aux péripéties</w:t>
            </w:r>
          </w:p>
          <w:p w:rsidR="00000000" w:rsidDel="00000000" w:rsidP="00000000" w:rsidRDefault="00000000" w:rsidRPr="00000000" w14:paraId="00000009">
            <w:pPr>
              <w:pageBreakBefore w:val="0"/>
              <w:numPr>
                <w:ilvl w:val="1"/>
                <w:numId w:val="2"/>
              </w:numPr>
              <w:spacing w:after="200" w:before="0" w:lineRule="auto"/>
              <w:ind w:left="1440" w:right="38.740157480316384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Une situation finale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: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la fin de l’histoire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ageBreakBefore w:val="0"/>
              <w:numPr>
                <w:ilvl w:val="0"/>
                <w:numId w:val="3"/>
              </w:numPr>
              <w:ind w:left="72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Boogaloo" w:cs="Boogaloo" w:eastAsia="Boogaloo" w:hAnsi="Boogaloo"/>
                <w:sz w:val="32"/>
                <w:szCs w:val="32"/>
                <w:rtl w:val="0"/>
              </w:rPr>
              <w:t xml:space="preserve">Il est écrit selon différents temps.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numPr>
                <w:ilvl w:val="1"/>
                <w:numId w:val="3"/>
              </w:numPr>
              <w:ind w:left="144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L’imparfait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pour présenter la situation initiale</w:t>
            </w:r>
          </w:p>
          <w:p w:rsidR="00000000" w:rsidDel="00000000" w:rsidP="00000000" w:rsidRDefault="00000000" w:rsidRPr="00000000" w14:paraId="0000000C">
            <w:pPr>
              <w:pageBreakBefore w:val="0"/>
              <w:numPr>
                <w:ilvl w:val="1"/>
                <w:numId w:val="3"/>
              </w:numPr>
              <w:ind w:left="144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Le passé simple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pour exprimer l’événement perturbateur et les actions entreprises par les personnages</w:t>
            </w:r>
          </w:p>
          <w:p w:rsidR="00000000" w:rsidDel="00000000" w:rsidP="00000000" w:rsidRDefault="00000000" w:rsidRPr="00000000" w14:paraId="0000000D">
            <w:pPr>
              <w:pageBreakBefore w:val="0"/>
              <w:numPr>
                <w:ilvl w:val="1"/>
                <w:numId w:val="3"/>
              </w:numPr>
              <w:spacing w:after="200" w:before="0" w:lineRule="auto"/>
              <w:ind w:left="144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Le présent</w:t>
            </w: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 est utilisé par le narrateur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numPr>
                <w:ilvl w:val="0"/>
                <w:numId w:val="1"/>
              </w:numPr>
              <w:spacing w:after="200" w:before="0" w:lineRule="auto"/>
              <w:ind w:left="72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Boogaloo" w:cs="Boogaloo" w:eastAsia="Boogaloo" w:hAnsi="Boogaloo"/>
                <w:sz w:val="32"/>
                <w:szCs w:val="32"/>
                <w:rtl w:val="0"/>
              </w:rPr>
              <w:t xml:space="preserve">On y retrouve des personnages principaux et des personnages secondaires.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ageBreakBefore w:val="0"/>
              <w:numPr>
                <w:ilvl w:val="0"/>
                <w:numId w:val="1"/>
              </w:numPr>
              <w:spacing w:after="200" w:before="0" w:lineRule="auto"/>
              <w:ind w:left="72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Boogaloo" w:cs="Boogaloo" w:eastAsia="Boogaloo" w:hAnsi="Boogaloo"/>
                <w:sz w:val="32"/>
                <w:szCs w:val="32"/>
                <w:rtl w:val="0"/>
              </w:rPr>
              <w:t xml:space="preserve">Il y a des marqueurs de relation qui établissent des liens entre les différentes parties de l’histoire.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1"/>
              </w:numPr>
              <w:spacing w:after="200" w:before="0" w:lineRule="auto"/>
              <w:ind w:left="72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Boogaloo" w:cs="Boogaloo" w:eastAsia="Boogaloo" w:hAnsi="Boogaloo"/>
                <w:sz w:val="32"/>
                <w:szCs w:val="32"/>
                <w:rtl w:val="0"/>
              </w:rPr>
              <w:t xml:space="preserve">Il y a un narrateur qui raconte l’histoire.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numPr>
                <w:ilvl w:val="0"/>
                <w:numId w:val="1"/>
              </w:numPr>
              <w:spacing w:after="200" w:before="0" w:lineRule="auto"/>
              <w:ind w:left="720" w:hanging="360"/>
              <w:jc w:val="both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Boogaloo" w:cs="Boogaloo" w:eastAsia="Boogaloo" w:hAnsi="Boogaloo"/>
                <w:sz w:val="32"/>
                <w:szCs w:val="32"/>
                <w:rtl w:val="0"/>
              </w:rPr>
              <w:t xml:space="preserve">Il y a des dialogues.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pageBreakBefore w:val="0"/>
        <w:ind w:right="2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hewy">
    <w:embedRegular w:fontKey="{00000000-0000-0000-0000-000000000000}" r:id="rId1" w:subsetted="0"/>
  </w:font>
  <w:font w:name="Boogaloo">
    <w:embedRegular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ageBreakBefore w:val="0"/>
      <w:rPr>
        <w:i w:val="1"/>
        <w:iCs w:val="1"/>
        <w:sz w:val="20"/>
        <w:szCs w:val="20"/>
      </w:rPr>
    </w:pPr>
    <w:r w:rsidDel="00000000" w:rsidR="00000000" w:rsidRPr="00000000">
      <w:rPr>
        <w:i w:val="1"/>
        <w:iCs w:val="1"/>
        <w:sz w:val="20"/>
        <w:szCs w:val="20"/>
        <w:rtl w:val="0"/>
      </w:rPr>
      <w:t xml:space="preserve">Sonia Gauthier, commission scolaire de l’Énergie, 2015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ewy-regular.ttf"/><Relationship Id="rId2" Type="http://schemas.openxmlformats.org/officeDocument/2006/relationships/font" Target="fonts/Boogaloo-regular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